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A8F" w:rsidRPr="00C00E57" w:rsidRDefault="00987A8F" w:rsidP="00D32FE6">
      <w:pPr>
        <w:spacing w:before="2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00E57">
        <w:rPr>
          <w:rFonts w:ascii="Times New Roman" w:hAnsi="Times New Roman" w:cs="Times New Roman"/>
          <w:sz w:val="28"/>
          <w:szCs w:val="28"/>
        </w:rPr>
        <w:t xml:space="preserve">УДК </w:t>
      </w:r>
      <w:r w:rsidR="00B16A44">
        <w:rPr>
          <w:rFonts w:ascii="Times New Roman" w:hAnsi="Times New Roman" w:cs="Times New Roman"/>
          <w:sz w:val="28"/>
          <w:szCs w:val="28"/>
        </w:rPr>
        <w:t>669.24</w:t>
      </w:r>
    </w:p>
    <w:p w:rsidR="00987A8F" w:rsidRPr="00C00E57" w:rsidRDefault="00987A8F" w:rsidP="00D32FE6">
      <w:pPr>
        <w:spacing w:before="2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0E57">
        <w:rPr>
          <w:rFonts w:ascii="Times New Roman" w:hAnsi="Times New Roman" w:cs="Times New Roman"/>
          <w:b/>
          <w:sz w:val="28"/>
          <w:szCs w:val="28"/>
        </w:rPr>
        <w:t>Структурно-геометрический подход к «Интегрированному Вычислительному Материаловедению и Инжинирингу» (</w:t>
      </w:r>
      <w:r w:rsidRPr="00D32FE6">
        <w:rPr>
          <w:rFonts w:ascii="Times New Roman" w:hAnsi="Times New Roman" w:cs="Times New Roman"/>
          <w:b/>
          <w:sz w:val="28"/>
          <w:szCs w:val="28"/>
        </w:rPr>
        <w:t>ICME</w:t>
      </w:r>
      <w:r w:rsidRPr="00C00E57">
        <w:rPr>
          <w:rFonts w:ascii="Times New Roman" w:hAnsi="Times New Roman" w:cs="Times New Roman"/>
          <w:b/>
          <w:sz w:val="28"/>
          <w:szCs w:val="28"/>
        </w:rPr>
        <w:t>) деформируемых жаропрочных никелевых сплавов.</w:t>
      </w:r>
    </w:p>
    <w:p w:rsidR="00987A8F" w:rsidRPr="00C00E57" w:rsidRDefault="00987A8F" w:rsidP="00D32FE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0E57">
        <w:rPr>
          <w:rFonts w:ascii="Times New Roman" w:hAnsi="Times New Roman" w:cs="Times New Roman"/>
          <w:sz w:val="28"/>
          <w:szCs w:val="28"/>
        </w:rPr>
        <w:t>Носов В.К.</w:t>
      </w:r>
      <w:r w:rsidRPr="00C00E5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00E57">
        <w:rPr>
          <w:rFonts w:ascii="Times New Roman" w:hAnsi="Times New Roman" w:cs="Times New Roman"/>
          <w:sz w:val="28"/>
          <w:szCs w:val="28"/>
        </w:rPr>
        <w:t xml:space="preserve">, </w:t>
      </w:r>
      <w:r w:rsidR="00D32FE6">
        <w:rPr>
          <w:rFonts w:ascii="Times New Roman" w:hAnsi="Times New Roman" w:cs="Times New Roman"/>
          <w:sz w:val="28"/>
          <w:szCs w:val="28"/>
        </w:rPr>
        <w:t>д</w:t>
      </w:r>
      <w:r w:rsidR="00D32FE6" w:rsidRPr="00C00E57">
        <w:rPr>
          <w:rFonts w:ascii="Times New Roman" w:hAnsi="Times New Roman" w:cs="Times New Roman"/>
          <w:sz w:val="28"/>
          <w:szCs w:val="28"/>
        </w:rPr>
        <w:t>.т.н.</w:t>
      </w:r>
      <w:r w:rsidR="00D32FE6">
        <w:rPr>
          <w:rFonts w:ascii="Times New Roman" w:hAnsi="Times New Roman" w:cs="Times New Roman"/>
          <w:sz w:val="28"/>
          <w:szCs w:val="28"/>
        </w:rPr>
        <w:t>;</w:t>
      </w:r>
      <w:r w:rsidR="00D32FE6" w:rsidRPr="00C00E57">
        <w:rPr>
          <w:rFonts w:ascii="Times New Roman" w:hAnsi="Times New Roman" w:cs="Times New Roman"/>
          <w:sz w:val="28"/>
          <w:szCs w:val="28"/>
        </w:rPr>
        <w:t xml:space="preserve"> </w:t>
      </w:r>
      <w:r w:rsidRPr="00C00E57">
        <w:rPr>
          <w:rFonts w:ascii="Times New Roman" w:hAnsi="Times New Roman" w:cs="Times New Roman"/>
          <w:sz w:val="28"/>
          <w:szCs w:val="28"/>
        </w:rPr>
        <w:t>Кононов С.А.</w:t>
      </w:r>
      <w:r w:rsidRPr="00C00E5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C00E57">
        <w:rPr>
          <w:rFonts w:ascii="Times New Roman" w:hAnsi="Times New Roman" w:cs="Times New Roman"/>
          <w:sz w:val="28"/>
          <w:szCs w:val="28"/>
        </w:rPr>
        <w:t xml:space="preserve">, </w:t>
      </w:r>
      <w:r w:rsidR="00D32FE6" w:rsidRPr="00C00E57">
        <w:rPr>
          <w:rFonts w:ascii="Times New Roman" w:hAnsi="Times New Roman" w:cs="Times New Roman"/>
          <w:sz w:val="28"/>
          <w:szCs w:val="28"/>
        </w:rPr>
        <w:t>к.т.н.</w:t>
      </w:r>
      <w:r w:rsidR="00D32FE6">
        <w:rPr>
          <w:rFonts w:ascii="Times New Roman" w:hAnsi="Times New Roman" w:cs="Times New Roman"/>
          <w:sz w:val="28"/>
          <w:szCs w:val="28"/>
        </w:rPr>
        <w:t>;</w:t>
      </w:r>
      <w:r w:rsidR="00D32FE6" w:rsidRPr="00C00E57">
        <w:rPr>
          <w:rFonts w:ascii="Times New Roman" w:hAnsi="Times New Roman" w:cs="Times New Roman"/>
          <w:sz w:val="28"/>
          <w:szCs w:val="28"/>
        </w:rPr>
        <w:t xml:space="preserve"> </w:t>
      </w:r>
      <w:r w:rsidRPr="00C00E57">
        <w:rPr>
          <w:rFonts w:ascii="Times New Roman" w:hAnsi="Times New Roman" w:cs="Times New Roman"/>
          <w:sz w:val="28"/>
          <w:szCs w:val="28"/>
        </w:rPr>
        <w:t>Перевозов А.С.</w:t>
      </w:r>
      <w:r w:rsidRPr="00C00E57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D32FE6">
        <w:rPr>
          <w:rFonts w:ascii="Times New Roman" w:hAnsi="Times New Roman" w:cs="Times New Roman"/>
          <w:sz w:val="28"/>
          <w:szCs w:val="28"/>
        </w:rPr>
        <w:t>;</w:t>
      </w:r>
      <w:r w:rsidR="00C00E57">
        <w:rPr>
          <w:rFonts w:ascii="Times New Roman" w:hAnsi="Times New Roman" w:cs="Times New Roman"/>
          <w:sz w:val="28"/>
          <w:szCs w:val="28"/>
        </w:rPr>
        <w:t xml:space="preserve"> </w:t>
      </w:r>
      <w:r w:rsidRPr="00C00E57">
        <w:rPr>
          <w:rFonts w:ascii="Times New Roman" w:hAnsi="Times New Roman" w:cs="Times New Roman"/>
          <w:sz w:val="28"/>
          <w:szCs w:val="28"/>
        </w:rPr>
        <w:t>Нестеров П.А.</w:t>
      </w:r>
      <w:r w:rsidRPr="00C00E5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C00E57">
        <w:rPr>
          <w:rFonts w:ascii="Times New Roman" w:hAnsi="Times New Roman" w:cs="Times New Roman"/>
          <w:sz w:val="28"/>
          <w:szCs w:val="28"/>
        </w:rPr>
        <w:t xml:space="preserve">, </w:t>
      </w:r>
      <w:r w:rsidR="00D32FE6" w:rsidRPr="00C00E57">
        <w:rPr>
          <w:rFonts w:ascii="Times New Roman" w:hAnsi="Times New Roman" w:cs="Times New Roman"/>
          <w:sz w:val="28"/>
          <w:szCs w:val="28"/>
        </w:rPr>
        <w:t>к.т.н.</w:t>
      </w:r>
      <w:r w:rsidR="00D32FE6">
        <w:rPr>
          <w:rFonts w:ascii="Times New Roman" w:hAnsi="Times New Roman" w:cs="Times New Roman"/>
          <w:sz w:val="28"/>
          <w:szCs w:val="28"/>
        </w:rPr>
        <w:t>;</w:t>
      </w:r>
      <w:r w:rsidR="00D32FE6" w:rsidRPr="00C00E57">
        <w:rPr>
          <w:rFonts w:ascii="Times New Roman" w:hAnsi="Times New Roman" w:cs="Times New Roman"/>
          <w:sz w:val="28"/>
          <w:szCs w:val="28"/>
        </w:rPr>
        <w:t xml:space="preserve"> </w:t>
      </w:r>
      <w:r w:rsidRPr="00C00E57">
        <w:rPr>
          <w:rFonts w:ascii="Times New Roman" w:hAnsi="Times New Roman" w:cs="Times New Roman"/>
          <w:sz w:val="28"/>
          <w:szCs w:val="28"/>
        </w:rPr>
        <w:t>Щугорев Ю.Ю.</w:t>
      </w:r>
      <w:r w:rsidRPr="00C00E5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C00E57">
        <w:rPr>
          <w:rFonts w:ascii="Times New Roman" w:hAnsi="Times New Roman" w:cs="Times New Roman"/>
          <w:sz w:val="28"/>
          <w:szCs w:val="28"/>
        </w:rPr>
        <w:t xml:space="preserve">, </w:t>
      </w:r>
      <w:r w:rsidR="00D32FE6" w:rsidRPr="00C00E57">
        <w:rPr>
          <w:rFonts w:ascii="Times New Roman" w:hAnsi="Times New Roman" w:cs="Times New Roman"/>
          <w:sz w:val="28"/>
          <w:szCs w:val="28"/>
        </w:rPr>
        <w:t>к.т.н.</w:t>
      </w:r>
      <w:r w:rsidR="00D32FE6">
        <w:rPr>
          <w:rFonts w:ascii="Times New Roman" w:hAnsi="Times New Roman" w:cs="Times New Roman"/>
          <w:sz w:val="28"/>
          <w:szCs w:val="28"/>
        </w:rPr>
        <w:t>;</w:t>
      </w:r>
      <w:r w:rsidR="00D32FE6" w:rsidRPr="00C00E57">
        <w:rPr>
          <w:rFonts w:ascii="Times New Roman" w:hAnsi="Times New Roman" w:cs="Times New Roman"/>
          <w:sz w:val="28"/>
          <w:szCs w:val="28"/>
        </w:rPr>
        <w:t xml:space="preserve"> </w:t>
      </w:r>
      <w:r w:rsidRPr="00C00E57">
        <w:rPr>
          <w:rFonts w:ascii="Times New Roman" w:hAnsi="Times New Roman" w:cs="Times New Roman"/>
          <w:sz w:val="28"/>
          <w:szCs w:val="28"/>
        </w:rPr>
        <w:t>Ермаков Е.И.</w:t>
      </w:r>
      <w:r w:rsidRPr="00C00E5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D32FE6">
        <w:rPr>
          <w:rFonts w:ascii="Times New Roman" w:hAnsi="Times New Roman" w:cs="Times New Roman"/>
          <w:sz w:val="28"/>
          <w:szCs w:val="28"/>
        </w:rPr>
        <w:t>;</w:t>
      </w:r>
      <w:r w:rsidRPr="00C00E57">
        <w:rPr>
          <w:rFonts w:ascii="Times New Roman" w:hAnsi="Times New Roman" w:cs="Times New Roman"/>
          <w:sz w:val="28"/>
          <w:szCs w:val="28"/>
        </w:rPr>
        <w:t xml:space="preserve"> Чуйкова А.А.</w:t>
      </w:r>
      <w:r w:rsidRPr="00C00E57">
        <w:rPr>
          <w:rFonts w:ascii="Times New Roman" w:hAnsi="Times New Roman" w:cs="Times New Roman"/>
          <w:sz w:val="28"/>
          <w:szCs w:val="28"/>
          <w:vertAlign w:val="superscript"/>
        </w:rPr>
        <w:t>1</w:t>
      </w:r>
    </w:p>
    <w:p w:rsidR="00987A8F" w:rsidRPr="00D32FE6" w:rsidRDefault="00987A8F">
      <w:pPr>
        <w:rPr>
          <w:rFonts w:ascii="Times New Roman" w:hAnsi="Times New Roman" w:cs="Times New Roman"/>
          <w:i/>
          <w:sz w:val="28"/>
          <w:szCs w:val="28"/>
        </w:rPr>
      </w:pPr>
      <w:r w:rsidRPr="00D32FE6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r w:rsidRPr="00D32FE6">
        <w:rPr>
          <w:rFonts w:ascii="Times New Roman" w:hAnsi="Times New Roman" w:cs="Times New Roman"/>
          <w:i/>
          <w:sz w:val="28"/>
          <w:szCs w:val="28"/>
        </w:rPr>
        <w:t xml:space="preserve"> Ступинский филиал МАИ</w:t>
      </w:r>
    </w:p>
    <w:p w:rsidR="00987A8F" w:rsidRPr="00D32FE6" w:rsidRDefault="00987A8F">
      <w:pPr>
        <w:rPr>
          <w:rFonts w:ascii="Times New Roman" w:hAnsi="Times New Roman" w:cs="Times New Roman"/>
          <w:i/>
          <w:sz w:val="28"/>
          <w:szCs w:val="28"/>
        </w:rPr>
      </w:pPr>
      <w:r w:rsidRPr="00D32FE6">
        <w:rPr>
          <w:rFonts w:ascii="Times New Roman" w:hAnsi="Times New Roman" w:cs="Times New Roman"/>
          <w:i/>
          <w:sz w:val="28"/>
          <w:szCs w:val="28"/>
          <w:vertAlign w:val="superscript"/>
        </w:rPr>
        <w:t>2</w:t>
      </w:r>
      <w:r w:rsidRPr="00D32FE6">
        <w:rPr>
          <w:rFonts w:ascii="Times New Roman" w:hAnsi="Times New Roman" w:cs="Times New Roman"/>
          <w:i/>
          <w:sz w:val="28"/>
          <w:szCs w:val="28"/>
        </w:rPr>
        <w:t xml:space="preserve"> ОАО Ступинская металлургическая компания</w:t>
      </w:r>
    </w:p>
    <w:p w:rsidR="00D32FE6" w:rsidRDefault="00D32FE6" w:rsidP="00C0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2FE6" w:rsidRDefault="00D32FE6" w:rsidP="00C00E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87A8F" w:rsidRPr="00C00E57" w:rsidRDefault="00987A8F" w:rsidP="00D32FE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E57">
        <w:rPr>
          <w:rFonts w:ascii="Times New Roman" w:hAnsi="Times New Roman" w:cs="Times New Roman"/>
          <w:sz w:val="28"/>
          <w:szCs w:val="28"/>
        </w:rPr>
        <w:t xml:space="preserve">В системе </w:t>
      </w:r>
      <w:r w:rsidRPr="00C00E57">
        <w:rPr>
          <w:rFonts w:ascii="Times New Roman" w:hAnsi="Times New Roman" w:cs="Times New Roman"/>
          <w:sz w:val="28"/>
          <w:szCs w:val="28"/>
          <w:lang w:val="en-US"/>
        </w:rPr>
        <w:t>ICME</w:t>
      </w:r>
      <w:r w:rsidRPr="00C00E57">
        <w:rPr>
          <w:rFonts w:ascii="Times New Roman" w:hAnsi="Times New Roman" w:cs="Times New Roman"/>
          <w:sz w:val="28"/>
          <w:szCs w:val="28"/>
        </w:rPr>
        <w:t xml:space="preserve">, разрабатываемой уже более 15 лет, заложен масштабно-размерный иерархический уровень структурного строения металлических материалов: электронная структура → атомная структура → мезоструктура → континуум. Основная цель системы </w:t>
      </w:r>
      <w:r w:rsidRPr="00C00E57">
        <w:rPr>
          <w:rFonts w:ascii="Times New Roman" w:hAnsi="Times New Roman" w:cs="Times New Roman"/>
          <w:sz w:val="28"/>
          <w:szCs w:val="28"/>
          <w:lang w:val="en-US"/>
        </w:rPr>
        <w:t>ICME</w:t>
      </w:r>
      <w:r w:rsidRPr="00C00E57">
        <w:rPr>
          <w:rFonts w:ascii="Times New Roman" w:hAnsi="Times New Roman" w:cs="Times New Roman"/>
          <w:sz w:val="28"/>
          <w:szCs w:val="28"/>
        </w:rPr>
        <w:t xml:space="preserve"> заключается</w:t>
      </w:r>
      <w:r w:rsidR="00234F33" w:rsidRPr="00C00E57">
        <w:rPr>
          <w:rFonts w:ascii="Times New Roman" w:hAnsi="Times New Roman" w:cs="Times New Roman"/>
          <w:sz w:val="28"/>
          <w:szCs w:val="28"/>
        </w:rPr>
        <w:t xml:space="preserve"> в сокращении стоимости, сроков разработки и освоения новых сплавов, а также режимов термомеханической обработки с потенциально заданным и гарантированным уровнем технологических и эксплуатационных свойств. В представленном докладе предлагается структурно-геометрический (СГ) подход к иерархии структурных единиц пространственного кристаллического строения: электрон → атом → кристаллит → переходные области (границы) → мезоструктура → континуум. На каждом иерархическом уровне СГ подхода рассматриваются принятые инструменты 3</w:t>
      </w:r>
      <w:r w:rsidR="00234F33" w:rsidRPr="00C00E5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34F33" w:rsidRPr="00C00E57">
        <w:rPr>
          <w:rFonts w:ascii="Times New Roman" w:hAnsi="Times New Roman" w:cs="Times New Roman"/>
          <w:sz w:val="28"/>
          <w:szCs w:val="28"/>
        </w:rPr>
        <w:t xml:space="preserve"> моделирования: квантовая механика → физика твёрдого тела → теория равновесных форм → геометрическая кристаллография → теория равновесия и упаковки → механика деформируемого твёрдого тела. Особое внимание уделяется </w:t>
      </w:r>
      <w:r w:rsidR="00234F33" w:rsidRPr="00F12D3F">
        <w:rPr>
          <w:rFonts w:ascii="Times New Roman" w:hAnsi="Times New Roman" w:cs="Times New Roman"/>
          <w:sz w:val="28"/>
          <w:szCs w:val="28"/>
        </w:rPr>
        <w:t>обоснованию</w:t>
      </w:r>
      <w:r w:rsidR="00234F33" w:rsidRPr="00C00E57">
        <w:rPr>
          <w:rFonts w:ascii="Times New Roman" w:hAnsi="Times New Roman" w:cs="Times New Roman"/>
          <w:sz w:val="28"/>
          <w:szCs w:val="28"/>
        </w:rPr>
        <w:t xml:space="preserve"> 3</w:t>
      </w:r>
      <w:r w:rsidR="00234F33" w:rsidRPr="00C00E5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34F33" w:rsidRPr="00C00E57">
        <w:rPr>
          <w:rFonts w:ascii="Times New Roman" w:hAnsi="Times New Roman" w:cs="Times New Roman"/>
          <w:sz w:val="28"/>
          <w:szCs w:val="28"/>
        </w:rPr>
        <w:t xml:space="preserve"> геометрически</w:t>
      </w:r>
      <w:r w:rsidR="00F12D3F">
        <w:rPr>
          <w:rFonts w:ascii="Times New Roman" w:hAnsi="Times New Roman" w:cs="Times New Roman"/>
          <w:sz w:val="28"/>
          <w:szCs w:val="28"/>
        </w:rPr>
        <w:t>х</w:t>
      </w:r>
      <w:r w:rsidR="00234F33" w:rsidRPr="00C00E57">
        <w:rPr>
          <w:rFonts w:ascii="Times New Roman" w:hAnsi="Times New Roman" w:cs="Times New Roman"/>
          <w:sz w:val="28"/>
          <w:szCs w:val="28"/>
        </w:rPr>
        <w:t xml:space="preserve"> модел</w:t>
      </w:r>
      <w:r w:rsidR="00F12D3F">
        <w:rPr>
          <w:rFonts w:ascii="Times New Roman" w:hAnsi="Times New Roman" w:cs="Times New Roman"/>
          <w:sz w:val="28"/>
          <w:szCs w:val="28"/>
        </w:rPr>
        <w:t>ей</w:t>
      </w:r>
      <w:r w:rsidR="00234F33" w:rsidRPr="00C00E57">
        <w:rPr>
          <w:rFonts w:ascii="Times New Roman" w:hAnsi="Times New Roman" w:cs="Times New Roman"/>
          <w:sz w:val="28"/>
          <w:szCs w:val="28"/>
        </w:rPr>
        <w:t xml:space="preserve"> структурных единиц каждого иерархического уровня пространственного строения.</w:t>
      </w:r>
    </w:p>
    <w:p w:rsidR="00F34B7D" w:rsidRPr="006A547B" w:rsidRDefault="00F34B7D" w:rsidP="00D32FE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E57">
        <w:rPr>
          <w:rFonts w:ascii="Times New Roman" w:hAnsi="Times New Roman" w:cs="Times New Roman"/>
          <w:sz w:val="28"/>
          <w:szCs w:val="28"/>
        </w:rPr>
        <w:lastRenderedPageBreak/>
        <w:t xml:space="preserve">Первая часть доклада посвящена уровню континуума с анализом реологических свойств сплава ЭП742-ИД с различным отношением </w:t>
      </w:r>
      <w:r w:rsidRPr="00C00E5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00E5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C00E57">
        <w:rPr>
          <w:rFonts w:ascii="Times New Roman" w:hAnsi="Times New Roman" w:cs="Times New Roman"/>
          <w:sz w:val="28"/>
          <w:szCs w:val="28"/>
        </w:rPr>
        <w:t>/</w:t>
      </w:r>
      <w:r w:rsidRPr="00C00E5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00E5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C00E57">
        <w:rPr>
          <w:rFonts w:ascii="Times New Roman" w:hAnsi="Times New Roman" w:cs="Times New Roman"/>
          <w:sz w:val="28"/>
          <w:szCs w:val="28"/>
        </w:rPr>
        <w:t xml:space="preserve"> в условиях горячей деформации сжатием. Показано, что рост удельных усилий сжатия</w:t>
      </w:r>
      <w:r w:rsidR="006A547B">
        <w:rPr>
          <w:rFonts w:ascii="Times New Roman" w:hAnsi="Times New Roman" w:cs="Times New Roman"/>
          <w:sz w:val="28"/>
          <w:szCs w:val="28"/>
        </w:rPr>
        <w:t xml:space="preserve"> </w:t>
      </w:r>
      <w:r w:rsidR="006A547B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6A547B" w:rsidRPr="006A547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Pr="00C00E57">
        <w:rPr>
          <w:rFonts w:ascii="Times New Roman" w:hAnsi="Times New Roman" w:cs="Times New Roman"/>
          <w:sz w:val="28"/>
          <w:szCs w:val="28"/>
        </w:rPr>
        <w:t xml:space="preserve"> с увеличением отношения </w:t>
      </w:r>
      <w:r w:rsidRPr="00C00E5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00E5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C00E57">
        <w:rPr>
          <w:rFonts w:ascii="Times New Roman" w:hAnsi="Times New Roman" w:cs="Times New Roman"/>
          <w:sz w:val="28"/>
          <w:szCs w:val="28"/>
        </w:rPr>
        <w:t>/</w:t>
      </w:r>
      <w:r w:rsidRPr="00C00E5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00E5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Pr="00C00E57">
        <w:rPr>
          <w:rFonts w:ascii="Times New Roman" w:hAnsi="Times New Roman" w:cs="Times New Roman"/>
          <w:sz w:val="28"/>
          <w:szCs w:val="28"/>
        </w:rPr>
        <w:t xml:space="preserve"> обусловлен ростом удельных контактных поверхностей, повышением коэффициента жесткости образцов и, как следствие, изменением напряжённо-деформированного состояния.</w:t>
      </w:r>
      <w:r w:rsidR="006A547B" w:rsidRPr="006A547B">
        <w:rPr>
          <w:rFonts w:ascii="Times New Roman" w:hAnsi="Times New Roman" w:cs="Times New Roman"/>
          <w:sz w:val="28"/>
          <w:szCs w:val="28"/>
        </w:rPr>
        <w:t xml:space="preserve"> </w:t>
      </w:r>
      <w:r w:rsidR="006A547B">
        <w:rPr>
          <w:rFonts w:ascii="Times New Roman" w:hAnsi="Times New Roman" w:cs="Times New Roman"/>
          <w:sz w:val="28"/>
          <w:szCs w:val="28"/>
        </w:rPr>
        <w:t xml:space="preserve">Распределение осевых, радиальных, тангенциальных, касательных, средних напряжений, накопленной деформации и выполнимость условия пластичности Губера-Мизеса для образцов с различным отношением </w:t>
      </w:r>
      <w:r w:rsidR="006A547B" w:rsidRPr="00C00E5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A547B" w:rsidRPr="00C00E5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6A547B" w:rsidRPr="00C00E57">
        <w:rPr>
          <w:rFonts w:ascii="Times New Roman" w:hAnsi="Times New Roman" w:cs="Times New Roman"/>
          <w:sz w:val="28"/>
          <w:szCs w:val="28"/>
        </w:rPr>
        <w:t>/</w:t>
      </w:r>
      <w:r w:rsidR="006A547B" w:rsidRPr="00C00E5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6A547B" w:rsidRPr="00C00E5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6A547B">
        <w:rPr>
          <w:rFonts w:ascii="Times New Roman" w:hAnsi="Times New Roman" w:cs="Times New Roman"/>
          <w:sz w:val="28"/>
          <w:szCs w:val="28"/>
        </w:rPr>
        <w:t xml:space="preserve"> приводили в программном комплексе </w:t>
      </w:r>
      <w:r w:rsidR="006A547B">
        <w:rPr>
          <w:rFonts w:ascii="Times New Roman" w:hAnsi="Times New Roman" w:cs="Times New Roman"/>
          <w:sz w:val="28"/>
          <w:szCs w:val="28"/>
          <w:lang w:val="en-US"/>
        </w:rPr>
        <w:t>QForm</w:t>
      </w:r>
      <w:r w:rsidR="006A547B" w:rsidRPr="006A547B">
        <w:rPr>
          <w:rFonts w:ascii="Times New Roman" w:hAnsi="Times New Roman" w:cs="Times New Roman"/>
          <w:sz w:val="28"/>
          <w:szCs w:val="28"/>
        </w:rPr>
        <w:t>.</w:t>
      </w:r>
      <w:r w:rsidR="006A547B">
        <w:rPr>
          <w:rFonts w:ascii="Times New Roman" w:hAnsi="Times New Roman" w:cs="Times New Roman"/>
          <w:sz w:val="28"/>
          <w:szCs w:val="28"/>
        </w:rPr>
        <w:t xml:space="preserve"> Зависимости </w:t>
      </w:r>
      <w:r w:rsidR="006A547B">
        <w:rPr>
          <w:rFonts w:ascii="Times New Roman" w:hAnsi="Times New Roman" w:cs="Times New Roman"/>
          <w:sz w:val="28"/>
          <w:szCs w:val="28"/>
          <w:lang w:val="en-US"/>
        </w:rPr>
        <w:t>q</w:t>
      </w:r>
      <w:r w:rsidR="006A547B" w:rsidRPr="006A547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r w:rsidR="006A547B">
        <w:rPr>
          <w:rFonts w:ascii="Times New Roman" w:hAnsi="Times New Roman" w:cs="Times New Roman"/>
          <w:sz w:val="28"/>
          <w:szCs w:val="28"/>
        </w:rPr>
        <w:t xml:space="preserve"> - </w:t>
      </w:r>
      <w:r w:rsidR="006A547B" w:rsidRPr="00C00E5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A547B" w:rsidRPr="00C00E5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6A547B" w:rsidRPr="00C00E57">
        <w:rPr>
          <w:rFonts w:ascii="Times New Roman" w:hAnsi="Times New Roman" w:cs="Times New Roman"/>
          <w:sz w:val="28"/>
          <w:szCs w:val="28"/>
        </w:rPr>
        <w:t>/</w:t>
      </w:r>
      <w:r w:rsidR="006A547B" w:rsidRPr="00C00E5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6A547B" w:rsidRPr="00C00E5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6A547B">
        <w:rPr>
          <w:rFonts w:ascii="Times New Roman" w:hAnsi="Times New Roman" w:cs="Times New Roman"/>
          <w:sz w:val="28"/>
          <w:szCs w:val="28"/>
        </w:rPr>
        <w:t xml:space="preserve"> при различных степенях деформации аппроксимировали линейной зависимостью, что позволяет использовать их для любого отношения </w:t>
      </w:r>
      <w:r w:rsidR="006A547B" w:rsidRPr="00C00E5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6A547B" w:rsidRPr="00C00E5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6A547B" w:rsidRPr="00C00E57">
        <w:rPr>
          <w:rFonts w:ascii="Times New Roman" w:hAnsi="Times New Roman" w:cs="Times New Roman"/>
          <w:sz w:val="28"/>
          <w:szCs w:val="28"/>
        </w:rPr>
        <w:t>/</w:t>
      </w:r>
      <w:r w:rsidR="006A547B" w:rsidRPr="00C00E5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6A547B" w:rsidRPr="00C00E57">
        <w:rPr>
          <w:rFonts w:ascii="Times New Roman" w:hAnsi="Times New Roman" w:cs="Times New Roman"/>
          <w:sz w:val="28"/>
          <w:szCs w:val="28"/>
          <w:vertAlign w:val="subscript"/>
        </w:rPr>
        <w:t>0</w:t>
      </w:r>
      <w:r w:rsidR="006A547B">
        <w:rPr>
          <w:rFonts w:ascii="Times New Roman" w:hAnsi="Times New Roman" w:cs="Times New Roman"/>
          <w:sz w:val="28"/>
          <w:szCs w:val="28"/>
        </w:rPr>
        <w:t>.</w:t>
      </w:r>
    </w:p>
    <w:p w:rsidR="00F34B7D" w:rsidRPr="00C00E57" w:rsidRDefault="00F34B7D" w:rsidP="00D32FE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E57">
        <w:rPr>
          <w:rFonts w:ascii="Times New Roman" w:hAnsi="Times New Roman" w:cs="Times New Roman"/>
          <w:sz w:val="28"/>
          <w:szCs w:val="28"/>
        </w:rPr>
        <w:t xml:space="preserve">Во второй части доклада рассматриваются результаты моделирования, с использованием программного комплекса </w:t>
      </w:r>
      <w:r w:rsidRPr="00C00E57">
        <w:rPr>
          <w:rFonts w:ascii="Times New Roman" w:hAnsi="Times New Roman" w:cs="Times New Roman"/>
          <w:sz w:val="28"/>
          <w:szCs w:val="28"/>
          <w:lang w:val="en-US"/>
        </w:rPr>
        <w:t>QForm</w:t>
      </w:r>
      <w:r w:rsidRPr="00C00E57">
        <w:rPr>
          <w:rFonts w:ascii="Times New Roman" w:hAnsi="Times New Roman" w:cs="Times New Roman"/>
          <w:sz w:val="28"/>
          <w:szCs w:val="28"/>
        </w:rPr>
        <w:t xml:space="preserve">, процесса штамповки </w:t>
      </w:r>
      <w:r w:rsidR="006A547B">
        <w:rPr>
          <w:rFonts w:ascii="Times New Roman" w:hAnsi="Times New Roman" w:cs="Times New Roman"/>
          <w:sz w:val="28"/>
          <w:szCs w:val="28"/>
        </w:rPr>
        <w:t>модельных дисков сплавов ЭИ693ВД и ЭП742ИД</w:t>
      </w:r>
      <w:r w:rsidRPr="00C00E57">
        <w:rPr>
          <w:rFonts w:ascii="Times New Roman" w:hAnsi="Times New Roman" w:cs="Times New Roman"/>
          <w:sz w:val="28"/>
          <w:szCs w:val="28"/>
        </w:rPr>
        <w:t xml:space="preserve"> с различным отношением диаметра диска (</w:t>
      </w:r>
      <w:r w:rsidR="009D5DAA" w:rsidRPr="00C00E5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00E57">
        <w:rPr>
          <w:rFonts w:ascii="Times New Roman" w:hAnsi="Times New Roman" w:cs="Times New Roman"/>
          <w:sz w:val="28"/>
          <w:szCs w:val="28"/>
          <w:vertAlign w:val="subscript"/>
        </w:rPr>
        <w:t>д</w:t>
      </w:r>
      <w:r w:rsidRPr="00C00E57">
        <w:rPr>
          <w:rFonts w:ascii="Times New Roman" w:hAnsi="Times New Roman" w:cs="Times New Roman"/>
          <w:sz w:val="28"/>
          <w:szCs w:val="28"/>
        </w:rPr>
        <w:t>)</w:t>
      </w:r>
      <w:r w:rsidR="009D5DAA" w:rsidRPr="00C00E57">
        <w:rPr>
          <w:rFonts w:ascii="Times New Roman" w:hAnsi="Times New Roman" w:cs="Times New Roman"/>
          <w:sz w:val="28"/>
          <w:szCs w:val="28"/>
        </w:rPr>
        <w:t xml:space="preserve"> к высоте ступицы (</w:t>
      </w:r>
      <w:r w:rsidR="009D5DAA" w:rsidRPr="00C00E5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D5DAA" w:rsidRPr="00C00E57">
        <w:rPr>
          <w:rFonts w:ascii="Times New Roman" w:hAnsi="Times New Roman" w:cs="Times New Roman"/>
          <w:sz w:val="28"/>
          <w:szCs w:val="28"/>
          <w:vertAlign w:val="subscript"/>
        </w:rPr>
        <w:t>ст</w:t>
      </w:r>
      <w:r w:rsidR="009D5DAA" w:rsidRPr="00C00E57">
        <w:rPr>
          <w:rFonts w:ascii="Times New Roman" w:hAnsi="Times New Roman" w:cs="Times New Roman"/>
          <w:sz w:val="28"/>
          <w:szCs w:val="28"/>
        </w:rPr>
        <w:t>) в открытом штампе с заусенечной канавкой, в закрытом штампе и в открытом штампе без заусенечной канавки. Показаны преимущества штамповки в открытом штампе без заусенечной канавки, заключающейся в более чем 2-х кратном снижении деформирующих усилий.</w:t>
      </w:r>
    </w:p>
    <w:p w:rsidR="009D5DAA" w:rsidRPr="00F12D3F" w:rsidRDefault="009D5DAA" w:rsidP="00D32FE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E57">
        <w:rPr>
          <w:rFonts w:ascii="Times New Roman" w:hAnsi="Times New Roman" w:cs="Times New Roman"/>
          <w:sz w:val="28"/>
          <w:szCs w:val="28"/>
        </w:rPr>
        <w:t>Третья часть доклада включает результаты 3</w:t>
      </w:r>
      <w:r w:rsidRPr="00C00E5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00E57">
        <w:rPr>
          <w:rFonts w:ascii="Times New Roman" w:hAnsi="Times New Roman" w:cs="Times New Roman"/>
          <w:sz w:val="28"/>
          <w:szCs w:val="28"/>
        </w:rPr>
        <w:t xml:space="preserve"> структурно-геометрического моделирования на уровнях кристаллита и переходных областей (границ зёрен). Указанные уровни 3</w:t>
      </w:r>
      <w:r w:rsidRPr="00C00E57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00E57">
        <w:rPr>
          <w:rFonts w:ascii="Times New Roman" w:hAnsi="Times New Roman" w:cs="Times New Roman"/>
          <w:sz w:val="28"/>
          <w:szCs w:val="28"/>
        </w:rPr>
        <w:t xml:space="preserve"> СГ моделирования базируются на у</w:t>
      </w:r>
      <w:r w:rsidR="00F12D3F">
        <w:rPr>
          <w:rFonts w:ascii="Times New Roman" w:hAnsi="Times New Roman" w:cs="Times New Roman"/>
          <w:sz w:val="28"/>
          <w:szCs w:val="28"/>
        </w:rPr>
        <w:t>словиях достижения γ-кристаллитом-многогранником в форме тетрак</w:t>
      </w:r>
      <w:r w:rsidR="00AA3802">
        <w:rPr>
          <w:rFonts w:ascii="Times New Roman" w:hAnsi="Times New Roman" w:cs="Times New Roman"/>
          <w:sz w:val="28"/>
          <w:szCs w:val="28"/>
        </w:rPr>
        <w:t>а</w:t>
      </w:r>
      <w:r w:rsidR="00F12D3F">
        <w:rPr>
          <w:rFonts w:ascii="Times New Roman" w:hAnsi="Times New Roman" w:cs="Times New Roman"/>
          <w:sz w:val="28"/>
          <w:szCs w:val="28"/>
        </w:rPr>
        <w:t xml:space="preserve">идекаэдра Кельвина равновесного состояния и полного заполнения им кристаллического пространства без промежутков, наложений и комбинаций с другими многогранниками. С термодинамических позиций энергонасыщенности элементов структурного строения </w:t>
      </w:r>
      <w:r w:rsidRPr="00C00E57">
        <w:rPr>
          <w:rFonts w:ascii="Times New Roman" w:hAnsi="Times New Roman" w:cs="Times New Roman"/>
          <w:sz w:val="28"/>
          <w:szCs w:val="28"/>
        </w:rPr>
        <w:t xml:space="preserve"> </w:t>
      </w:r>
      <w:r w:rsidR="00F12D3F">
        <w:rPr>
          <w:rFonts w:ascii="Times New Roman" w:hAnsi="Times New Roman" w:cs="Times New Roman"/>
          <w:sz w:val="28"/>
          <w:szCs w:val="28"/>
        </w:rPr>
        <w:t>γ-кристаллита</w:t>
      </w:r>
      <w:r w:rsidR="00F12D3F" w:rsidRPr="00C00E57">
        <w:rPr>
          <w:rFonts w:ascii="Times New Roman" w:hAnsi="Times New Roman" w:cs="Times New Roman"/>
          <w:sz w:val="28"/>
          <w:szCs w:val="28"/>
        </w:rPr>
        <w:t xml:space="preserve"> </w:t>
      </w:r>
      <w:r w:rsidRPr="00C00E57">
        <w:rPr>
          <w:rFonts w:ascii="Times New Roman" w:hAnsi="Times New Roman" w:cs="Times New Roman"/>
          <w:sz w:val="28"/>
          <w:szCs w:val="28"/>
        </w:rPr>
        <w:t xml:space="preserve">в последовательности: вершины → ребра → грани → тело зерна; </w:t>
      </w:r>
      <w:r w:rsidRPr="00C00E57">
        <w:rPr>
          <w:rFonts w:ascii="Times New Roman" w:hAnsi="Times New Roman" w:cs="Times New Roman"/>
          <w:sz w:val="28"/>
          <w:szCs w:val="28"/>
        </w:rPr>
        <w:lastRenderedPageBreak/>
        <w:t xml:space="preserve">рассматривается избирательность и последовательность образования упрочняющих </w:t>
      </w:r>
      <w:r w:rsidR="00C00E57" w:rsidRPr="00C00E57">
        <w:rPr>
          <w:rFonts w:ascii="Times New Roman" w:hAnsi="Times New Roman" w:cs="Times New Roman"/>
          <w:sz w:val="28"/>
          <w:szCs w:val="28"/>
        </w:rPr>
        <w:t>γ`-фазы и карбидов в процессах закалки и старения.</w:t>
      </w:r>
    </w:p>
    <w:sectPr w:rsidR="009D5DAA" w:rsidRPr="00F12D3F" w:rsidSect="00F7382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E5A" w:rsidRDefault="00B01E5A" w:rsidP="00D32FE6">
      <w:pPr>
        <w:spacing w:after="0" w:line="240" w:lineRule="auto"/>
      </w:pPr>
      <w:r>
        <w:separator/>
      </w:r>
    </w:p>
  </w:endnote>
  <w:endnote w:type="continuationSeparator" w:id="1">
    <w:p w:rsidR="00B01E5A" w:rsidRDefault="00B01E5A" w:rsidP="00D32F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E10" w:rsidRDefault="00417E1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92964"/>
      <w:docPartObj>
        <w:docPartGallery w:val="Page Numbers (Bottom of Page)"/>
        <w:docPartUnique/>
      </w:docPartObj>
    </w:sdtPr>
    <w:sdtContent>
      <w:p w:rsidR="00D32FE6" w:rsidRDefault="00D32FE6">
        <w:pPr>
          <w:pStyle w:val="a5"/>
          <w:jc w:val="center"/>
        </w:pPr>
        <w:fldSimple w:instr=" PAGE   \* MERGEFORMAT ">
          <w:r w:rsidR="00417E10">
            <w:rPr>
              <w:noProof/>
            </w:rPr>
            <w:t>1</w:t>
          </w:r>
        </w:fldSimple>
      </w:p>
    </w:sdtContent>
  </w:sdt>
  <w:p w:rsidR="00D32FE6" w:rsidRDefault="00D32FE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E10" w:rsidRDefault="00417E1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E5A" w:rsidRDefault="00B01E5A" w:rsidP="00D32FE6">
      <w:pPr>
        <w:spacing w:after="0" w:line="240" w:lineRule="auto"/>
      </w:pPr>
      <w:r>
        <w:separator/>
      </w:r>
    </w:p>
  </w:footnote>
  <w:footnote w:type="continuationSeparator" w:id="1">
    <w:p w:rsidR="00B01E5A" w:rsidRDefault="00B01E5A" w:rsidP="00D32F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E10" w:rsidRDefault="00417E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E10" w:rsidRDefault="00417E1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7E10" w:rsidRDefault="00417E1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987A8F"/>
    <w:rsid w:val="00234F33"/>
    <w:rsid w:val="00417E10"/>
    <w:rsid w:val="006A547B"/>
    <w:rsid w:val="00987A8F"/>
    <w:rsid w:val="009D5DAA"/>
    <w:rsid w:val="00AA3802"/>
    <w:rsid w:val="00B01E5A"/>
    <w:rsid w:val="00B16A44"/>
    <w:rsid w:val="00B63C7B"/>
    <w:rsid w:val="00C00E57"/>
    <w:rsid w:val="00D32FE6"/>
    <w:rsid w:val="00F12D3F"/>
    <w:rsid w:val="00F34B7D"/>
    <w:rsid w:val="00F73820"/>
    <w:rsid w:val="00FA1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32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32FE6"/>
  </w:style>
  <w:style w:type="paragraph" w:styleId="a5">
    <w:name w:val="footer"/>
    <w:basedOn w:val="a"/>
    <w:link w:val="a6"/>
    <w:uiPriority w:val="99"/>
    <w:unhideWhenUsed/>
    <w:rsid w:val="00D32F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32F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2961</Characters>
  <Application>Microsoft Office Word</Application>
  <DocSecurity>0</DocSecurity>
  <Lines>24</Lines>
  <Paragraphs>6</Paragraphs>
  <ScaleCrop>false</ScaleCrop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2015-12-02T12:55:00Z</dcterms:created>
  <dcterms:modified xsi:type="dcterms:W3CDTF">2015-12-02T12:55:00Z</dcterms:modified>
</cp:coreProperties>
</file>